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F0" w:rsidRDefault="00407B94">
      <w:r>
        <w:t>Verstöße gegen den unlauteren Wettbewerb:</w:t>
      </w:r>
    </w:p>
    <w:tbl>
      <w:tblPr>
        <w:tblStyle w:val="Tabellengitternetz"/>
        <w:tblW w:w="9342" w:type="dxa"/>
        <w:tblInd w:w="-147" w:type="dxa"/>
        <w:tblLayout w:type="fixed"/>
        <w:tblLook w:val="04A0"/>
      </w:tblPr>
      <w:tblGrid>
        <w:gridCol w:w="1988"/>
        <w:gridCol w:w="4231"/>
        <w:gridCol w:w="3123"/>
      </w:tblGrid>
      <w:tr w:rsidR="00AF2BAF" w:rsidTr="009D46EE">
        <w:trPr>
          <w:trHeight w:val="501"/>
        </w:trPr>
        <w:tc>
          <w:tcPr>
            <w:tcW w:w="1988" w:type="dxa"/>
          </w:tcPr>
          <w:p w:rsidR="00AF2BAF" w:rsidRPr="00D6104C" w:rsidRDefault="00AF2BAF" w:rsidP="00407B94">
            <w:pPr>
              <w:jc w:val="center"/>
              <w:rPr>
                <w:b/>
              </w:rPr>
            </w:pPr>
            <w:proofErr w:type="spellStart"/>
            <w:r w:rsidRPr="00D6104C">
              <w:rPr>
                <w:b/>
              </w:rPr>
              <w:t>Verstoßarten</w:t>
            </w:r>
            <w:proofErr w:type="spellEnd"/>
          </w:p>
        </w:tc>
        <w:tc>
          <w:tcPr>
            <w:tcW w:w="4231" w:type="dxa"/>
          </w:tcPr>
          <w:p w:rsidR="00AF2BAF" w:rsidRPr="00D6104C" w:rsidRDefault="00AF2BAF">
            <w:pPr>
              <w:rPr>
                <w:b/>
              </w:rPr>
            </w:pPr>
            <w:r w:rsidRPr="00D6104C">
              <w:rPr>
                <w:b/>
              </w:rPr>
              <w:t>Bsp. Für Verstöße</w:t>
            </w:r>
          </w:p>
        </w:tc>
        <w:tc>
          <w:tcPr>
            <w:tcW w:w="3123" w:type="dxa"/>
          </w:tcPr>
          <w:p w:rsidR="00AF2BAF" w:rsidRPr="00D6104C" w:rsidRDefault="00AF2BAF">
            <w:pPr>
              <w:rPr>
                <w:b/>
              </w:rPr>
            </w:pPr>
            <w:r w:rsidRPr="00D6104C">
              <w:rPr>
                <w:b/>
              </w:rPr>
              <w:t>Begründung des Verstoßes durch</w:t>
            </w:r>
            <w:r>
              <w:rPr>
                <w:b/>
              </w:rPr>
              <w:t xml:space="preserve"> den</w:t>
            </w:r>
            <w:r w:rsidRPr="00D6104C">
              <w:rPr>
                <w:b/>
              </w:rPr>
              <w:t xml:space="preserve"> IDO</w:t>
            </w:r>
          </w:p>
          <w:p w:rsidR="00AF2BAF" w:rsidRPr="00D6104C" w:rsidRDefault="00AF2BAF">
            <w:pPr>
              <w:rPr>
                <w:b/>
              </w:rPr>
            </w:pPr>
          </w:p>
        </w:tc>
      </w:tr>
      <w:tr w:rsidR="00AF2BAF" w:rsidTr="009D46EE">
        <w:trPr>
          <w:trHeight w:val="1590"/>
        </w:trPr>
        <w:tc>
          <w:tcPr>
            <w:tcW w:w="1988" w:type="dxa"/>
          </w:tcPr>
          <w:p w:rsidR="00AF2BAF" w:rsidRDefault="00AF2BAF" w:rsidP="00407B94">
            <w:pPr>
              <w:jc w:val="center"/>
            </w:pPr>
            <w:r>
              <w:t>Formulierung</w:t>
            </w:r>
          </w:p>
          <w:p w:rsidR="00AF2BAF" w:rsidRDefault="00AF2BAF" w:rsidP="00407B94">
            <w:pPr>
              <w:jc w:val="center"/>
            </w:pPr>
            <w:r>
              <w:t>Gefahrübergang</w:t>
            </w:r>
          </w:p>
        </w:tc>
        <w:tc>
          <w:tcPr>
            <w:tcW w:w="4231" w:type="dxa"/>
          </w:tcPr>
          <w:p w:rsidR="00AF2BAF" w:rsidRDefault="00AF2BAF">
            <w:r>
              <w:t>„Ihre Sendung ist durch uns versichert… Übergabe-Einschreiben, DHL- und Hermes-Pakete sind auf unsere Kosten zum vollen Rechnungsbetrag gegen Verlust und B</w:t>
            </w:r>
            <w:r>
              <w:t>e</w:t>
            </w:r>
            <w:r>
              <w:t>schädigung versichert (Dies gilt nur für den Versand innerhalb Europas und nach USA, Australien, Neuseeland, sowie Japan)“</w:t>
            </w:r>
          </w:p>
          <w:p w:rsidR="00AF2BAF" w:rsidRDefault="00AF2BAF"/>
          <w:p w:rsidR="00AF2BAF" w:rsidRDefault="00AF2BAF">
            <w:r>
              <w:t xml:space="preserve">„Das Lot verschicke ich für Sie kostenfrei als versichertes </w:t>
            </w:r>
            <w:proofErr w:type="spellStart"/>
            <w:r>
              <w:t>dhl</w:t>
            </w:r>
            <w:proofErr w:type="spellEnd"/>
            <w:r>
              <w:t xml:space="preserve"> Paket.“</w:t>
            </w:r>
          </w:p>
          <w:p w:rsidR="00AF2BAF" w:rsidRDefault="00AF2BAF"/>
          <w:p w:rsidR="00AF2BAF" w:rsidRDefault="00AF2BAF">
            <w:r>
              <w:t>„Der Versand erfolgt umgehend nach Gu</w:t>
            </w:r>
            <w:r>
              <w:t>t</w:t>
            </w:r>
            <w:r>
              <w:t>schrift Ihrer Zahlung als eingeschriebener privat versicherter Brief oder als Paket.“</w:t>
            </w:r>
          </w:p>
          <w:p w:rsidR="00AF2BAF" w:rsidRDefault="00AF2BAF"/>
          <w:p w:rsidR="00AF2BAF" w:rsidRDefault="00AF2BAF">
            <w:r>
              <w:t>„Bei DHL Paket ist Ihr Kauf zusätzlich bis 500€ versichert.“</w:t>
            </w:r>
          </w:p>
          <w:p w:rsidR="00AF2BAF" w:rsidRDefault="00AF2BAF"/>
          <w:p w:rsidR="00AF2BAF" w:rsidRDefault="00AF2BAF">
            <w:r>
              <w:t xml:space="preserve">„Durch unsere zusätzliche </w:t>
            </w:r>
            <w:proofErr w:type="spellStart"/>
            <w:r>
              <w:t>Transportvaloren</w:t>
            </w:r>
            <w:proofErr w:type="spellEnd"/>
            <w:r>
              <w:t>-Versicherung ist jedes Einschreiben mit bis zu 800€ und jedes Paket bis zu 25.000€ zum vollen Rechnungswert versichert!“</w:t>
            </w:r>
          </w:p>
          <w:p w:rsidR="00AF2BAF" w:rsidRDefault="00AF2BAF"/>
          <w:p w:rsidR="00AF2BAF" w:rsidRDefault="00AF2BAF"/>
          <w:p w:rsidR="00AF2BAF" w:rsidRDefault="00AF2BAF"/>
        </w:tc>
        <w:tc>
          <w:tcPr>
            <w:tcW w:w="3123" w:type="dxa"/>
          </w:tcPr>
          <w:p w:rsidR="00AF2BAF" w:rsidRDefault="00AF2BAF" w:rsidP="00BF3997">
            <w:r>
              <w:t>Die Formulierung ist irrefü</w:t>
            </w:r>
            <w:r>
              <w:t>h</w:t>
            </w:r>
            <w:r>
              <w:t>rend, da der Verbraucher dar</w:t>
            </w:r>
            <w:r>
              <w:t>ü</w:t>
            </w:r>
            <w:r>
              <w:t>ber getäuscht wird, dass die Transportgefahr beim Unte</w:t>
            </w:r>
            <w:r>
              <w:t>r</w:t>
            </w:r>
            <w:r>
              <w:t>nehmer liegt und er diese gar nicht auf den Verbraucher a</w:t>
            </w:r>
            <w:r>
              <w:t>b</w:t>
            </w:r>
            <w:r>
              <w:t>wälzen kann. Die abweichende Regelung der Gefahrtragung verstößt gegen §§474II, 475I BGB, wonach die Gefahr erst mit Übergabe an den Verbra</w:t>
            </w:r>
            <w:r>
              <w:t>u</w:t>
            </w:r>
            <w:r>
              <w:t>cher übergeht.</w:t>
            </w:r>
          </w:p>
        </w:tc>
      </w:tr>
      <w:tr w:rsidR="00AF2BAF" w:rsidTr="009D46EE">
        <w:trPr>
          <w:trHeight w:val="1683"/>
        </w:trPr>
        <w:tc>
          <w:tcPr>
            <w:tcW w:w="1988" w:type="dxa"/>
          </w:tcPr>
          <w:p w:rsidR="00AF2BAF" w:rsidRDefault="00AF2BAF" w:rsidP="00407B94">
            <w:pPr>
              <w:jc w:val="center"/>
            </w:pPr>
            <w:r>
              <w:t>Lieferfrist</w:t>
            </w:r>
          </w:p>
        </w:tc>
        <w:tc>
          <w:tcPr>
            <w:tcW w:w="4231" w:type="dxa"/>
          </w:tcPr>
          <w:p w:rsidR="00AF2BAF" w:rsidRDefault="00AF2BAF">
            <w:r>
              <w:t>„Die ersteigerten Artikel werden vom Ve</w:t>
            </w:r>
            <w:r>
              <w:t>r</w:t>
            </w:r>
            <w:r>
              <w:t>käufer in der Regel am nächsten Werktag nach Zahlungseingang gut verpackt und mit philatelistischer Frankatur verschickt.“</w:t>
            </w:r>
          </w:p>
        </w:tc>
        <w:tc>
          <w:tcPr>
            <w:tcW w:w="3123" w:type="dxa"/>
          </w:tcPr>
          <w:p w:rsidR="00AF2BAF" w:rsidRDefault="00AF2BAF" w:rsidP="00BF3997">
            <w:r>
              <w:t>Die Frist ist nicht hinreichend bestimmt. Ein Durchschnitt</w:t>
            </w:r>
            <w:r>
              <w:t>s</w:t>
            </w:r>
            <w:r>
              <w:t>kunde muss das Ende der Frist berechnen und bestimmen können. Nicht hinreichend b</w:t>
            </w:r>
            <w:r>
              <w:t>e</w:t>
            </w:r>
            <w:r>
              <w:t>stimmte Lieferfristen führen dazu, dass die Leistungszeit mehr oder weniger in das Beli</w:t>
            </w:r>
            <w:r>
              <w:t>e</w:t>
            </w:r>
            <w:r>
              <w:t>ben des Unternehmers gestellt wird. Das verstößt gegen §308 Nr. 1 BGB. Zudem ist unklar wann der Regel- und wann der Ausnahmefall vorliegt.</w:t>
            </w:r>
          </w:p>
          <w:p w:rsidR="00AF2BAF" w:rsidRDefault="00AF2BAF" w:rsidP="00BF3997"/>
        </w:tc>
      </w:tr>
      <w:tr w:rsidR="00AF2BAF" w:rsidTr="009D46EE">
        <w:trPr>
          <w:trHeight w:val="1590"/>
        </w:trPr>
        <w:tc>
          <w:tcPr>
            <w:tcW w:w="1988" w:type="dxa"/>
          </w:tcPr>
          <w:p w:rsidR="00AF2BAF" w:rsidRDefault="00AF2BAF" w:rsidP="00407B94">
            <w:pPr>
              <w:jc w:val="center"/>
            </w:pPr>
            <w:r>
              <w:t>Speicherung des Vertragstextes</w:t>
            </w:r>
          </w:p>
        </w:tc>
        <w:tc>
          <w:tcPr>
            <w:tcW w:w="4231" w:type="dxa"/>
          </w:tcPr>
          <w:p w:rsidR="00AF2BAF" w:rsidRDefault="00AF2BAF">
            <w:r>
              <w:t>Vollständiges Fehlen der Klausel</w:t>
            </w:r>
          </w:p>
        </w:tc>
        <w:tc>
          <w:tcPr>
            <w:tcW w:w="3123" w:type="dxa"/>
          </w:tcPr>
          <w:p w:rsidR="00AF2BAF" w:rsidRDefault="00AF2BAF">
            <w:r>
              <w:t>Gem. Art. 246c Nr. 2 EGBGB muss eine Pflichtinformation darüber vorgenommen werden, ob der Vertragstext nach dem Vertragsschluss von dem Unte</w:t>
            </w:r>
            <w:r>
              <w:t>r</w:t>
            </w:r>
            <w:r>
              <w:t>nehmer gespeichert wird und ob er dem Kunden zugänglich gemacht wird.</w:t>
            </w:r>
          </w:p>
          <w:p w:rsidR="00AF2BAF" w:rsidRDefault="00AF2BAF">
            <w:r>
              <w:t xml:space="preserve">§3 Nr. 12 der Ebay-AGB besagt </w:t>
            </w:r>
            <w:r>
              <w:lastRenderedPageBreak/>
              <w:t>zwar, dass „Nutzer (…) dafür verantwortlich (sind), mittels der Ebay-Dienste einsehbare und von Ebay gespeicherte I</w:t>
            </w:r>
            <w:r>
              <w:t>n</w:t>
            </w:r>
            <w:r>
              <w:t>formationen, die sie zu Zwecken der Beweissicherung, Buchfü</w:t>
            </w:r>
            <w:r>
              <w:t>h</w:t>
            </w:r>
            <w:r>
              <w:t>rung oder zu anderen Zwecken benötigen, auf einem von Ebay unabhängigen Speichermedium zu archivieren.“</w:t>
            </w:r>
          </w:p>
          <w:p w:rsidR="00AF2BAF" w:rsidRDefault="00AF2BAF" w:rsidP="00023839">
            <w:r>
              <w:t>Ein Verweis darauf ich nicht ausreichend, denn es wird nicht festgelegt, ob der Unternehmer selbst die Vertragstexte spe</w:t>
            </w:r>
            <w:r>
              <w:t>i</w:t>
            </w:r>
            <w:r>
              <w:t>chern und dem Kunden zur Ve</w:t>
            </w:r>
            <w:r>
              <w:t>r</w:t>
            </w:r>
            <w:r>
              <w:t>fügung stellen muss.</w:t>
            </w:r>
          </w:p>
          <w:p w:rsidR="00AF2BAF" w:rsidRDefault="00AF2BAF" w:rsidP="00023839"/>
        </w:tc>
      </w:tr>
      <w:tr w:rsidR="00AF2BAF" w:rsidTr="009D46EE">
        <w:trPr>
          <w:trHeight w:val="1683"/>
        </w:trPr>
        <w:tc>
          <w:tcPr>
            <w:tcW w:w="1988" w:type="dxa"/>
          </w:tcPr>
          <w:p w:rsidR="00AF2BAF" w:rsidRDefault="00AF2BAF" w:rsidP="00407B94">
            <w:pPr>
              <w:jc w:val="center"/>
            </w:pPr>
            <w:r>
              <w:lastRenderedPageBreak/>
              <w:t>Bestehen von Mängelgewähr</w:t>
            </w:r>
            <w:r w:rsidR="009A1A73">
              <w:t>-</w:t>
            </w:r>
            <w:r>
              <w:t>leistungsrechten</w:t>
            </w:r>
          </w:p>
        </w:tc>
        <w:tc>
          <w:tcPr>
            <w:tcW w:w="4231" w:type="dxa"/>
          </w:tcPr>
          <w:p w:rsidR="00AF2BAF" w:rsidRDefault="00AF2BAF">
            <w:r>
              <w:t>Vollständiges Fehlen der Klausel</w:t>
            </w:r>
          </w:p>
        </w:tc>
        <w:tc>
          <w:tcPr>
            <w:tcW w:w="3123" w:type="dxa"/>
          </w:tcPr>
          <w:p w:rsidR="00AF2BAF" w:rsidRDefault="00AF2BAF">
            <w:r>
              <w:t>Gem. Art. §246aI S.1 Nr. 8 EGBGB muss dem Verbraucher eine Pflichtinformation über das Bestehen des gesetzlichen Mängelhaftungsrechts erteilt werden.</w:t>
            </w:r>
          </w:p>
          <w:p w:rsidR="00AF2BAF" w:rsidRDefault="00AF2BAF"/>
        </w:tc>
      </w:tr>
      <w:tr w:rsidR="009D46EE" w:rsidTr="009D46EE">
        <w:trPr>
          <w:trHeight w:val="1683"/>
        </w:trPr>
        <w:tc>
          <w:tcPr>
            <w:tcW w:w="1988" w:type="dxa"/>
          </w:tcPr>
          <w:p w:rsidR="009A1A73" w:rsidRDefault="004824E2" w:rsidP="00407B94">
            <w:pPr>
              <w:jc w:val="center"/>
            </w:pPr>
            <w:r>
              <w:t xml:space="preserve">Form der </w:t>
            </w:r>
          </w:p>
          <w:p w:rsidR="009D46EE" w:rsidRDefault="004824E2" w:rsidP="00407B94">
            <w:pPr>
              <w:jc w:val="center"/>
            </w:pPr>
            <w:r>
              <w:t>Widerrufserklärung</w:t>
            </w:r>
          </w:p>
        </w:tc>
        <w:tc>
          <w:tcPr>
            <w:tcW w:w="4231" w:type="dxa"/>
          </w:tcPr>
          <w:p w:rsidR="009D46EE" w:rsidRDefault="009D46EE">
            <w:r>
              <w:t>„Sie können Ihren Kauf innerhalb von einem Monat, nach Erhalt der Ware, mit Angaben von Gründen in Schriftform und durch Rüc</w:t>
            </w:r>
            <w:r>
              <w:t>k</w:t>
            </w:r>
            <w:r>
              <w:t>sendung der Ware widerrufen.“</w:t>
            </w:r>
          </w:p>
        </w:tc>
        <w:tc>
          <w:tcPr>
            <w:tcW w:w="3123" w:type="dxa"/>
          </w:tcPr>
          <w:p w:rsidR="009D46EE" w:rsidRDefault="009D46EE">
            <w:r>
              <w:t>Gem. der EU Verbraucherrich</w:t>
            </w:r>
            <w:r>
              <w:t>t</w:t>
            </w:r>
            <w:r>
              <w:t>linie vom 13.06.2014 muss der Widerruf des Verbrauchers nicht mehr in Textform erfo</w:t>
            </w:r>
            <w:r>
              <w:t>l</w:t>
            </w:r>
            <w:r>
              <w:t>gen. Er kann auch in beliebig anderer, z.B. telefonisch</w:t>
            </w:r>
            <w:r w:rsidR="004824E2">
              <w:t>er, Form</w:t>
            </w:r>
            <w:r>
              <w:t xml:space="preserve"> erfolgen, wobei der Ve</w:t>
            </w:r>
            <w:r>
              <w:t>r</w:t>
            </w:r>
            <w:r>
              <w:t xml:space="preserve">braucher dann die Beweislast trägt. </w:t>
            </w:r>
            <w:r>
              <w:br/>
            </w:r>
            <w:r w:rsidR="004824E2">
              <w:t xml:space="preserve">Mithin </w:t>
            </w:r>
            <w:r>
              <w:t>muss der Unternehmer seine Telefonnummer angeben.</w:t>
            </w:r>
          </w:p>
          <w:p w:rsidR="009D46EE" w:rsidRDefault="009D46EE">
            <w:r>
              <w:t>Die bloße Rücksendung der Ware reicht</w:t>
            </w:r>
            <w:r w:rsidR="004824E2">
              <w:t xml:space="preserve"> dabei nicht aus. Eine</w:t>
            </w:r>
            <w:r>
              <w:t xml:space="preserve"> deutliche Widerrufserklä</w:t>
            </w:r>
            <w:r w:rsidR="004824E2">
              <w:t>rung muss sie begleiten.</w:t>
            </w:r>
          </w:p>
          <w:p w:rsidR="009D46EE" w:rsidRDefault="009D46EE"/>
        </w:tc>
      </w:tr>
      <w:tr w:rsidR="00AF2BAF" w:rsidTr="009D46EE">
        <w:trPr>
          <w:trHeight w:val="1590"/>
        </w:trPr>
        <w:tc>
          <w:tcPr>
            <w:tcW w:w="1988" w:type="dxa"/>
          </w:tcPr>
          <w:p w:rsidR="009A1A73" w:rsidRDefault="00AF2BAF" w:rsidP="00407B94">
            <w:pPr>
              <w:jc w:val="center"/>
            </w:pPr>
            <w:r>
              <w:t xml:space="preserve">Muster- </w:t>
            </w:r>
          </w:p>
          <w:p w:rsidR="00AF2BAF" w:rsidRDefault="00AF2BAF" w:rsidP="00407B94">
            <w:pPr>
              <w:jc w:val="center"/>
            </w:pPr>
            <w:r>
              <w:t>Widerrufsformular</w:t>
            </w:r>
          </w:p>
        </w:tc>
        <w:tc>
          <w:tcPr>
            <w:tcW w:w="4231" w:type="dxa"/>
          </w:tcPr>
          <w:p w:rsidR="00AF2BAF" w:rsidRDefault="00AF2BAF">
            <w:r>
              <w:t>Vollständiges Fehlen der Klausel</w:t>
            </w:r>
          </w:p>
        </w:tc>
        <w:tc>
          <w:tcPr>
            <w:tcW w:w="3123" w:type="dxa"/>
          </w:tcPr>
          <w:p w:rsidR="00AF2BAF" w:rsidRDefault="00AF2BAF">
            <w:r>
              <w:t>Seit dem 13.06.2014 ist der Kunde vor Abgabe seiner Wi</w:t>
            </w:r>
            <w:r>
              <w:t>l</w:t>
            </w:r>
            <w:r>
              <w:t>lenserklärung in klarer und ve</w:t>
            </w:r>
            <w:r>
              <w:t>r</w:t>
            </w:r>
            <w:r>
              <w:t xml:space="preserve">ständlicher Weise über das Muster- Widerrufsformular zu belehren. </w:t>
            </w:r>
          </w:p>
          <w:p w:rsidR="00AF2BAF" w:rsidRDefault="00AF2BAF">
            <w:r>
              <w:t>Dabei ist die Telefonnummer des Unternehmers zu nennen.</w:t>
            </w:r>
          </w:p>
        </w:tc>
      </w:tr>
      <w:tr w:rsidR="00AF2BAF" w:rsidTr="009D46EE">
        <w:trPr>
          <w:trHeight w:val="1590"/>
        </w:trPr>
        <w:tc>
          <w:tcPr>
            <w:tcW w:w="1988" w:type="dxa"/>
          </w:tcPr>
          <w:p w:rsidR="00AF2BAF" w:rsidRDefault="00AF2BAF" w:rsidP="00407B94">
            <w:pPr>
              <w:jc w:val="center"/>
            </w:pPr>
            <w:r>
              <w:lastRenderedPageBreak/>
              <w:t>Widerrufsfristen</w:t>
            </w:r>
          </w:p>
        </w:tc>
        <w:tc>
          <w:tcPr>
            <w:tcW w:w="4231" w:type="dxa"/>
          </w:tcPr>
          <w:p w:rsidR="00AF2BAF" w:rsidRDefault="00AF2BAF">
            <w:r>
              <w:t>„14 Tage“</w:t>
            </w:r>
          </w:p>
          <w:p w:rsidR="00AF2BAF" w:rsidRDefault="00AF2BAF"/>
          <w:p w:rsidR="00AF2BAF" w:rsidRDefault="00AF2BAF">
            <w:r>
              <w:t>„eines Monates“</w:t>
            </w:r>
          </w:p>
        </w:tc>
        <w:tc>
          <w:tcPr>
            <w:tcW w:w="3123" w:type="dxa"/>
          </w:tcPr>
          <w:p w:rsidR="00AF2BAF" w:rsidRDefault="00AF2BAF" w:rsidP="00AF2BAF">
            <w:r>
              <w:t>Diese Fristen sind irreführend, unverständlich und verleiten den Verbraucher dazu seine Rechte nicht geltend zu m</w:t>
            </w:r>
            <w:r>
              <w:t>a</w:t>
            </w:r>
            <w:r>
              <w:t>chen.</w:t>
            </w:r>
          </w:p>
          <w:p w:rsidR="001D1D9E" w:rsidRDefault="001D1D9E" w:rsidP="00AF2BAF"/>
          <w:p w:rsidR="001D1D9E" w:rsidRDefault="001D1D9E" w:rsidP="00AF2BAF">
            <w:r>
              <w:t>Anmerkung:</w:t>
            </w:r>
          </w:p>
          <w:p w:rsidR="001D1D9E" w:rsidRDefault="001D1D9E" w:rsidP="00AF2BAF">
            <w:r>
              <w:t>Der Verbraucher muss die Fris</w:t>
            </w:r>
            <w:r>
              <w:t>t</w:t>
            </w:r>
            <w:r>
              <w:t>dauer, den Fristbeginn und das Fristende erkennen können.</w:t>
            </w:r>
          </w:p>
          <w:p w:rsidR="00AF2BAF" w:rsidRDefault="00AF2BAF" w:rsidP="00AF2BAF">
            <w:r>
              <w:t>Im Regelfall endet die Frist zwei Wochen nach Fristbeginn.</w:t>
            </w:r>
          </w:p>
          <w:p w:rsidR="001D1D9E" w:rsidRDefault="001D1D9E" w:rsidP="00AF2BAF">
            <w:r>
              <w:t xml:space="preserve">Fristbeginn ist </w:t>
            </w:r>
            <w:r w:rsidRPr="001D1D9E">
              <w:t xml:space="preserve">nach </w:t>
            </w:r>
            <w:r>
              <w:t xml:space="preserve">Erteilung der </w:t>
            </w:r>
            <w:r w:rsidRPr="001D1D9E">
              <w:t>Widerrufsbelehrung</w:t>
            </w:r>
            <w:r>
              <w:t>,</w:t>
            </w:r>
            <w:r w:rsidRPr="001D1D9E">
              <w:t xml:space="preserve"> nach Erfüllung der nachvertraglichen Informationspflichten</w:t>
            </w:r>
            <w:r>
              <w:t xml:space="preserve"> und Ei</w:t>
            </w:r>
            <w:r>
              <w:t>n</w:t>
            </w:r>
            <w:r>
              <w:t>gang der Waren beim Empfä</w:t>
            </w:r>
            <w:r>
              <w:t>n</w:t>
            </w:r>
            <w:r>
              <w:t>ger.</w:t>
            </w:r>
          </w:p>
          <w:p w:rsidR="001D1D9E" w:rsidRDefault="00AF2BAF" w:rsidP="00AF2BAF">
            <w:r>
              <w:t>Erfolgt die Widerrufsbelehrung erst nach Vertragsschluss endet die Frist erst einen Monat na</w:t>
            </w:r>
            <w:r w:rsidR="001D1D9E">
              <w:t>ch Fristbeginn.</w:t>
            </w:r>
          </w:p>
          <w:p w:rsidR="00AF2BAF" w:rsidRDefault="00AF2BAF" w:rsidP="00AF2BAF">
            <w:r>
              <w:t>Bei einer fehlerhaften oder u</w:t>
            </w:r>
            <w:r>
              <w:t>n</w:t>
            </w:r>
            <w:r>
              <w:t>terlassenen nachvertraglichen Information endet die Frist erst sechs Monate nach Vertrag</w:t>
            </w:r>
            <w:r>
              <w:t>s</w:t>
            </w:r>
            <w:r>
              <w:t>schluss bzw. Warenlieferung.</w:t>
            </w:r>
          </w:p>
          <w:p w:rsidR="00AF2BAF" w:rsidRDefault="00AF2BAF" w:rsidP="001D1D9E">
            <w:r>
              <w:t>Die Frist endet nie bei einer  versäumten Widerrufsbeleh</w:t>
            </w:r>
            <w:r w:rsidR="001D1D9E">
              <w:t>rung.</w:t>
            </w:r>
          </w:p>
          <w:p w:rsidR="001D1D9E" w:rsidRDefault="001D1D9E" w:rsidP="001D1D9E"/>
        </w:tc>
      </w:tr>
      <w:tr w:rsidR="004824E2" w:rsidTr="009D46EE">
        <w:trPr>
          <w:trHeight w:val="1590"/>
        </w:trPr>
        <w:tc>
          <w:tcPr>
            <w:tcW w:w="1988" w:type="dxa"/>
          </w:tcPr>
          <w:p w:rsidR="004824E2" w:rsidRDefault="004824E2" w:rsidP="00407B94">
            <w:pPr>
              <w:jc w:val="center"/>
            </w:pPr>
            <w:r>
              <w:t>Ersatz der gezog</w:t>
            </w:r>
            <w:r>
              <w:t>e</w:t>
            </w:r>
            <w:r>
              <w:t>nen Nutzungen nach Widerruf</w:t>
            </w:r>
          </w:p>
        </w:tc>
        <w:tc>
          <w:tcPr>
            <w:tcW w:w="4231" w:type="dxa"/>
          </w:tcPr>
          <w:p w:rsidR="004824E2" w:rsidRDefault="004824E2">
            <w:r>
              <w:t>„Im Falle eines wirksamen Widerrufes sind die beiderseits empfangenen Leistungen zurück zu gewähren und ggf. gezogene Nu</w:t>
            </w:r>
            <w:r>
              <w:t>t</w:t>
            </w:r>
            <w:r>
              <w:t>zungen herauszugeben.“</w:t>
            </w:r>
          </w:p>
        </w:tc>
        <w:tc>
          <w:tcPr>
            <w:tcW w:w="3123" w:type="dxa"/>
          </w:tcPr>
          <w:p w:rsidR="004824E2" w:rsidRDefault="004824E2" w:rsidP="00AF2BAF">
            <w:r>
              <w:t>Seit dem 13.06.2014 hat der Unternehmer keinen Anspruch  auf Wertersatz der bereits g</w:t>
            </w:r>
            <w:r>
              <w:t>e</w:t>
            </w:r>
            <w:r>
              <w:t xml:space="preserve">zogenen Nutzungen mehr. </w:t>
            </w:r>
          </w:p>
          <w:p w:rsidR="004824E2" w:rsidRDefault="004824E2" w:rsidP="00AF2BAF">
            <w:r>
              <w:t>Er hat gem. §357VII BGB unter den dort genannten Vorausse</w:t>
            </w:r>
            <w:r>
              <w:t>t</w:t>
            </w:r>
            <w:r>
              <w:t>zungen lediglich einen Anspruch auf Wertersatz für Wertverlust.</w:t>
            </w:r>
          </w:p>
          <w:p w:rsidR="004824E2" w:rsidRDefault="004824E2" w:rsidP="00AF2BAF"/>
        </w:tc>
      </w:tr>
      <w:tr w:rsidR="00AF2BAF" w:rsidTr="009D46EE">
        <w:trPr>
          <w:trHeight w:val="1683"/>
        </w:trPr>
        <w:tc>
          <w:tcPr>
            <w:tcW w:w="1988" w:type="dxa"/>
          </w:tcPr>
          <w:p w:rsidR="00AF2BAF" w:rsidRDefault="00AF2BAF" w:rsidP="00407B94">
            <w:pPr>
              <w:jc w:val="center"/>
            </w:pPr>
            <w:r>
              <w:t>Vertragsschluss</w:t>
            </w:r>
          </w:p>
        </w:tc>
        <w:tc>
          <w:tcPr>
            <w:tcW w:w="4231" w:type="dxa"/>
          </w:tcPr>
          <w:p w:rsidR="00AF2BAF" w:rsidRDefault="00AF2BAF">
            <w:r>
              <w:t>„Unsere Lieferungen, Leistungen und Ang</w:t>
            </w:r>
            <w:r>
              <w:t>e</w:t>
            </w:r>
            <w:r>
              <w:t>bote erfolgen ausschließlich auf der Grun</w:t>
            </w:r>
            <w:r>
              <w:t>d</w:t>
            </w:r>
            <w:r>
              <w:t>lage dieser AGBs.“</w:t>
            </w:r>
          </w:p>
          <w:p w:rsidR="00AF2BAF" w:rsidRDefault="00AF2BAF"/>
          <w:p w:rsidR="00AF2BAF" w:rsidRDefault="00AF2BAF">
            <w:r>
              <w:t xml:space="preserve">„Die Warenpräsentation in unserem </w:t>
            </w:r>
            <w:proofErr w:type="spellStart"/>
            <w:r>
              <w:t>Oline</w:t>
            </w:r>
            <w:proofErr w:type="spellEnd"/>
            <w:r>
              <w:t>-Shop stellt noch keinen verbindlichen Antrag auf den Abschluss eines Kaufvertrages dar. Vielmehr handelt es sich um eine unverbin</w:t>
            </w:r>
            <w:r>
              <w:t>d</w:t>
            </w:r>
            <w:r>
              <w:t>liche Aufforderung zur Bestellung von W</w:t>
            </w:r>
            <w:r>
              <w:t>a</w:t>
            </w:r>
            <w:r>
              <w:t>ren.“</w:t>
            </w:r>
          </w:p>
          <w:p w:rsidR="00AF2BAF" w:rsidRDefault="00AF2BAF"/>
          <w:p w:rsidR="00AF2BAF" w:rsidRDefault="00AF2BAF">
            <w:r>
              <w:t>„Sämtliche Angebote sind freibleibend.“</w:t>
            </w:r>
          </w:p>
          <w:p w:rsidR="00AF2BAF" w:rsidRDefault="00AF2BAF"/>
          <w:p w:rsidR="00AF2BAF" w:rsidRDefault="00AF2BAF">
            <w:r>
              <w:lastRenderedPageBreak/>
              <w:t>„Für die Geschäftsbeziehung zwischen (…), im folgenden „Verkäufer“ genannt, und dem Besteller, im Folgenden „Käufer“ genannt, gelten ausschließlich die nachfolgenden AGB in der zum Zeitpunkt der Bestellung gültigen Fassung.“</w:t>
            </w:r>
          </w:p>
          <w:p w:rsidR="00AF2BAF" w:rsidRDefault="00AF2BAF"/>
        </w:tc>
        <w:tc>
          <w:tcPr>
            <w:tcW w:w="3123" w:type="dxa"/>
          </w:tcPr>
          <w:p w:rsidR="00AF2BAF" w:rsidRDefault="00AF2BAF">
            <w:r>
              <w:lastRenderedPageBreak/>
              <w:t>Widerspricht §6 Ebay-AGB. D</w:t>
            </w:r>
            <w:r>
              <w:t>a</w:t>
            </w:r>
            <w:r>
              <w:t>nach ist ein „Sofort-Kaufen“ Angebot eines Händlers ve</w:t>
            </w:r>
            <w:r>
              <w:t>r</w:t>
            </w:r>
            <w:r>
              <w:t>bindlich, sodass es in der Hands des Kunden liegt den Vertrag</w:t>
            </w:r>
            <w:r>
              <w:t>s</w:t>
            </w:r>
            <w:r>
              <w:t xml:space="preserve">schluss herbeizuführen durch Anklicken des Buttons. </w:t>
            </w:r>
          </w:p>
          <w:p w:rsidR="00AF2BAF" w:rsidRDefault="00AF2BAF">
            <w:r>
              <w:t>Abweichende Regelungen wir z.B. durch das Wort „ausschlie</w:t>
            </w:r>
            <w:r>
              <w:t>ß</w:t>
            </w:r>
            <w:r>
              <w:t>lich“ sind für den Verbraucher überraschende Klauseln nach §305c BGB und somit unwir</w:t>
            </w:r>
            <w:r>
              <w:t>k</w:t>
            </w:r>
            <w:r>
              <w:t>sam, denn der Käufer ist ebe</w:t>
            </w:r>
            <w:r>
              <w:t>n</w:t>
            </w:r>
            <w:r>
              <w:lastRenderedPageBreak/>
              <w:t>falls an die Ebay-AGBs gebu</w:t>
            </w:r>
            <w:r>
              <w:t>n</w:t>
            </w:r>
            <w:r>
              <w:t>den und rechnet mit den Au</w:t>
            </w:r>
            <w:r>
              <w:t>s</w:t>
            </w:r>
            <w:r>
              <w:t xml:space="preserve">nahmen nicht. </w:t>
            </w:r>
          </w:p>
        </w:tc>
      </w:tr>
      <w:tr w:rsidR="00AF2BAF" w:rsidTr="009D46EE">
        <w:trPr>
          <w:trHeight w:val="1590"/>
        </w:trPr>
        <w:tc>
          <w:tcPr>
            <w:tcW w:w="1988" w:type="dxa"/>
          </w:tcPr>
          <w:p w:rsidR="00AF2BAF" w:rsidRDefault="00AF2BAF" w:rsidP="00407B94">
            <w:pPr>
              <w:jc w:val="center"/>
            </w:pPr>
            <w:r>
              <w:lastRenderedPageBreak/>
              <w:t>Aufrechnung</w:t>
            </w:r>
          </w:p>
        </w:tc>
        <w:tc>
          <w:tcPr>
            <w:tcW w:w="4231" w:type="dxa"/>
          </w:tcPr>
          <w:p w:rsidR="00AF2BAF" w:rsidRDefault="00AF2BAF">
            <w:r>
              <w:t>„Der Kunde kann nur mit solchen Forderu</w:t>
            </w:r>
            <w:r>
              <w:t>n</w:t>
            </w:r>
            <w:r>
              <w:t>gen aufrechnen, die unbestritten oder rechtskräftig festgestellt sind.“</w:t>
            </w:r>
          </w:p>
        </w:tc>
        <w:tc>
          <w:tcPr>
            <w:tcW w:w="3123" w:type="dxa"/>
          </w:tcPr>
          <w:p w:rsidR="00AF2BAF" w:rsidRDefault="00AF2BAF">
            <w:r>
              <w:t>Ein derartiges Aufrechnung</w:t>
            </w:r>
            <w:r>
              <w:t>s</w:t>
            </w:r>
            <w:r>
              <w:t>verbot stellt eine unangeme</w:t>
            </w:r>
            <w:r>
              <w:t>s</w:t>
            </w:r>
            <w:r>
              <w:t>sene Benachteiligung des Ve</w:t>
            </w:r>
            <w:r>
              <w:t>r</w:t>
            </w:r>
            <w:r>
              <w:t>tragspartners entgegen des Gebots von Treu und Glauben dar, denn der Kunde wird g</w:t>
            </w:r>
            <w:r>
              <w:t>e</w:t>
            </w:r>
            <w:r>
              <w:t>zwungen eine ggf. mangelhafte Leistung voll zu vergüten, o</w:t>
            </w:r>
            <w:r>
              <w:t>b</w:t>
            </w:r>
            <w:r>
              <w:t>wohl er mit Mängelgewährlei</w:t>
            </w:r>
            <w:r>
              <w:t>s</w:t>
            </w:r>
            <w:r>
              <w:t>tungsansprüchen aufrechnen könnte.</w:t>
            </w:r>
          </w:p>
          <w:p w:rsidR="00AF2BAF" w:rsidRDefault="00AF2BAF"/>
        </w:tc>
      </w:tr>
      <w:tr w:rsidR="00AF2BAF" w:rsidTr="009D46EE">
        <w:trPr>
          <w:trHeight w:val="1590"/>
        </w:trPr>
        <w:tc>
          <w:tcPr>
            <w:tcW w:w="1988" w:type="dxa"/>
          </w:tcPr>
          <w:p w:rsidR="00AF2BAF" w:rsidRDefault="00AF2BAF" w:rsidP="00407B94">
            <w:pPr>
              <w:jc w:val="center"/>
            </w:pPr>
            <w:r>
              <w:t>Erfüllungsort</w:t>
            </w:r>
          </w:p>
        </w:tc>
        <w:tc>
          <w:tcPr>
            <w:tcW w:w="4231" w:type="dxa"/>
          </w:tcPr>
          <w:p w:rsidR="00AF2BAF" w:rsidRDefault="00AF2BAF">
            <w:r>
              <w:t>„Erfüllungsort ist Mannheim“</w:t>
            </w:r>
          </w:p>
        </w:tc>
        <w:tc>
          <w:tcPr>
            <w:tcW w:w="3123" w:type="dxa"/>
          </w:tcPr>
          <w:p w:rsidR="00AF2BAF" w:rsidRDefault="00AF2BAF" w:rsidP="00C64ECA">
            <w:r>
              <w:t>Erfüllungsort- und Gericht</w:t>
            </w:r>
            <w:r>
              <w:t>s</w:t>
            </w:r>
            <w:r>
              <w:t>standvereinbarungen können gem. §29II ZPO nur zwischen zwei Kaufleuten, juristischen Personen des öffentlichen Rechts oder öffentlich rechtl</w:t>
            </w:r>
            <w:r>
              <w:t>i</w:t>
            </w:r>
            <w:r>
              <w:t>chen Sondervermögen wirksam getroffen werden.</w:t>
            </w:r>
          </w:p>
          <w:p w:rsidR="00AF2BAF" w:rsidRDefault="00AF2BAF" w:rsidP="00C64ECA"/>
        </w:tc>
      </w:tr>
      <w:tr w:rsidR="00AF2BAF" w:rsidTr="009D46EE">
        <w:trPr>
          <w:trHeight w:val="1590"/>
        </w:trPr>
        <w:tc>
          <w:tcPr>
            <w:tcW w:w="1988" w:type="dxa"/>
          </w:tcPr>
          <w:p w:rsidR="00EE2438" w:rsidRDefault="00AF2BAF" w:rsidP="00407B94">
            <w:pPr>
              <w:jc w:val="center"/>
            </w:pPr>
            <w:r>
              <w:t>Online-</w:t>
            </w:r>
          </w:p>
          <w:p w:rsidR="00AF2BAF" w:rsidRDefault="00AF2BAF" w:rsidP="00407B94">
            <w:pPr>
              <w:jc w:val="center"/>
            </w:pPr>
            <w:bookmarkStart w:id="0" w:name="_GoBack"/>
            <w:bookmarkEnd w:id="0"/>
            <w:r>
              <w:t>Streitbeilegung</w:t>
            </w:r>
          </w:p>
        </w:tc>
        <w:tc>
          <w:tcPr>
            <w:tcW w:w="4231" w:type="dxa"/>
          </w:tcPr>
          <w:p w:rsidR="00AF2BAF" w:rsidRDefault="009D46EE">
            <w:r>
              <w:t>Vollständiges Fehlen der Klausel</w:t>
            </w:r>
          </w:p>
        </w:tc>
        <w:tc>
          <w:tcPr>
            <w:tcW w:w="3123" w:type="dxa"/>
          </w:tcPr>
          <w:p w:rsidR="00AF2BAF" w:rsidRDefault="00AF2BAF" w:rsidP="00C64ECA">
            <w:r>
              <w:t>Gem. Art. 14I VO EU Nr. 254/2013 (ODR-Verordnung) muss ein in der EU niedergela</w:t>
            </w:r>
            <w:r>
              <w:t>s</w:t>
            </w:r>
            <w:r>
              <w:t>sener Unternehmer, der online Kaufverträge eingeht, einen Link zu der unter http.//ec.europa.eu/</w:t>
            </w:r>
            <w:proofErr w:type="spellStart"/>
            <w:r>
              <w:t>consumers</w:t>
            </w:r>
            <w:proofErr w:type="spellEnd"/>
            <w:r>
              <w:t>/</w:t>
            </w:r>
            <w:proofErr w:type="spellStart"/>
            <w:r>
              <w:t>odr</w:t>
            </w:r>
            <w:proofErr w:type="spellEnd"/>
            <w:r>
              <w:t xml:space="preserve"> eingerichteten Online-Plattform der EU-Kommission zur außergerichtlichen Online-Streitbeteiligung nennen. Z</w:t>
            </w:r>
            <w:r>
              <w:t>u</w:t>
            </w:r>
            <w:r>
              <w:t>dem muss dieser Unternehmer auch seine Email-Adresse ang</w:t>
            </w:r>
            <w:r>
              <w:t>e</w:t>
            </w:r>
            <w:r>
              <w:t>ben.</w:t>
            </w:r>
          </w:p>
          <w:p w:rsidR="00AF2BAF" w:rsidRDefault="00AF2BAF" w:rsidP="00C64ECA"/>
        </w:tc>
      </w:tr>
      <w:tr w:rsidR="00AF2BAF" w:rsidTr="009D46EE">
        <w:trPr>
          <w:trHeight w:val="5257"/>
        </w:trPr>
        <w:tc>
          <w:tcPr>
            <w:tcW w:w="1988" w:type="dxa"/>
          </w:tcPr>
          <w:p w:rsidR="00AF2BAF" w:rsidRDefault="00AF2BAF" w:rsidP="00407B94">
            <w:pPr>
              <w:jc w:val="center"/>
            </w:pPr>
            <w:r>
              <w:lastRenderedPageBreak/>
              <w:t>Auslandsversan</w:t>
            </w:r>
            <w:r>
              <w:t>d</w:t>
            </w:r>
            <w:r>
              <w:t>kosten</w:t>
            </w:r>
          </w:p>
        </w:tc>
        <w:tc>
          <w:tcPr>
            <w:tcW w:w="4231" w:type="dxa"/>
          </w:tcPr>
          <w:p w:rsidR="00AF2BAF" w:rsidRDefault="00AF2BAF">
            <w:r>
              <w:t>„ (…) bei Lieferungen ins Ausland, bitte vo</w:t>
            </w:r>
            <w:r>
              <w:t>r</w:t>
            </w:r>
            <w:r>
              <w:t>her die Portokosten erfragen.“</w:t>
            </w:r>
          </w:p>
        </w:tc>
        <w:tc>
          <w:tcPr>
            <w:tcW w:w="3123" w:type="dxa"/>
          </w:tcPr>
          <w:p w:rsidR="00AF2BAF" w:rsidRDefault="00AF2BAF" w:rsidP="00C64ECA">
            <w:r>
              <w:t>Gem. §1II Preisangaben VO muss den Letztverbrauchern angegeben werden, ob zusät</w:t>
            </w:r>
            <w:r>
              <w:t>z</w:t>
            </w:r>
            <w:r>
              <w:t>lich Liefer- und Versandkosten anfallen. Für den Fall, dass sie anfallen, muss deren Höhe a</w:t>
            </w:r>
            <w:r>
              <w:t>n</w:t>
            </w:r>
            <w:r>
              <w:t xml:space="preserve">gegeben werden. </w:t>
            </w:r>
          </w:p>
          <w:p w:rsidR="00AF2BAF" w:rsidRDefault="00AF2BAF" w:rsidP="00D10DCA">
            <w:r>
              <w:t>Soweit vorherige Angaben zu diesen Kosten in bestimmten Fällen nicht möglich sind, mü</w:t>
            </w:r>
            <w:r>
              <w:t>s</w:t>
            </w:r>
            <w:r>
              <w:t>sen zumindest nähere Einzelhe</w:t>
            </w:r>
            <w:r>
              <w:t>i</w:t>
            </w:r>
            <w:r>
              <w:t xml:space="preserve">ten der Berechnung, z.B. durch eine Versandkostentabelle, angegeben werden, aufgrund derer sich der Verbraucher die Kosten leicht errechnen kann. </w:t>
            </w:r>
          </w:p>
          <w:p w:rsidR="00AF2BAF" w:rsidRDefault="00AF2BAF" w:rsidP="00D10DCA"/>
        </w:tc>
      </w:tr>
    </w:tbl>
    <w:p w:rsidR="00407B94" w:rsidRDefault="00407B94"/>
    <w:sectPr w:rsidR="00407B94" w:rsidSect="00AD12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876E5D"/>
    <w:rsid w:val="00023839"/>
    <w:rsid w:val="0014501D"/>
    <w:rsid w:val="00196D91"/>
    <w:rsid w:val="001D1D9E"/>
    <w:rsid w:val="00325663"/>
    <w:rsid w:val="003270EF"/>
    <w:rsid w:val="00407B94"/>
    <w:rsid w:val="004824E2"/>
    <w:rsid w:val="004B32E0"/>
    <w:rsid w:val="00876E5D"/>
    <w:rsid w:val="009A1A73"/>
    <w:rsid w:val="009D46EE"/>
    <w:rsid w:val="00AD1258"/>
    <w:rsid w:val="00AF2BAF"/>
    <w:rsid w:val="00B57ED3"/>
    <w:rsid w:val="00BF3997"/>
    <w:rsid w:val="00C51FFA"/>
    <w:rsid w:val="00C64ECA"/>
    <w:rsid w:val="00CD3B34"/>
    <w:rsid w:val="00D10DCA"/>
    <w:rsid w:val="00D6104C"/>
    <w:rsid w:val="00E133F0"/>
    <w:rsid w:val="00EA7831"/>
    <w:rsid w:val="00E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2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0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Wolfgang</cp:lastModifiedBy>
  <cp:revision>2</cp:revision>
  <cp:lastPrinted>2017-05-06T09:56:00Z</cp:lastPrinted>
  <dcterms:created xsi:type="dcterms:W3CDTF">2017-05-23T10:22:00Z</dcterms:created>
  <dcterms:modified xsi:type="dcterms:W3CDTF">2017-05-23T10:22:00Z</dcterms:modified>
</cp:coreProperties>
</file>